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26" w:rsidRDefault="00CD5F26" w:rsidP="00CD5F26">
      <w:pPr>
        <w:spacing w:line="240" w:lineRule="atLeast"/>
        <w:jc w:val="center"/>
        <w:rPr>
          <w:b/>
        </w:rPr>
      </w:pPr>
      <w:bookmarkStart w:id="0" w:name="_GoBack"/>
      <w:bookmarkEnd w:id="0"/>
      <w:r w:rsidRPr="00B54265">
        <w:rPr>
          <w:b/>
        </w:rPr>
        <w:t>ПОЯСНИТЕЛЬНАЯ ЗАПИСКА</w:t>
      </w:r>
    </w:p>
    <w:p w:rsidR="00CD5F26" w:rsidRPr="00B54265" w:rsidRDefault="00CD5F26" w:rsidP="00CD5F26">
      <w:pPr>
        <w:spacing w:line="120" w:lineRule="exact"/>
        <w:jc w:val="center"/>
        <w:rPr>
          <w:b/>
        </w:rPr>
      </w:pPr>
    </w:p>
    <w:p w:rsidR="00CD5F26" w:rsidRDefault="00CD5F26" w:rsidP="00CD5F26">
      <w:pPr>
        <w:spacing w:line="240" w:lineRule="atLeast"/>
        <w:jc w:val="center"/>
        <w:rPr>
          <w:b/>
          <w:bCs/>
        </w:rPr>
      </w:pPr>
      <w:r w:rsidRPr="00B54265">
        <w:rPr>
          <w:b/>
        </w:rPr>
        <w:t xml:space="preserve">к проекту федерального закона </w:t>
      </w:r>
      <w:r>
        <w:rPr>
          <w:b/>
        </w:rPr>
        <w:t>"</w:t>
      </w:r>
      <w:r w:rsidRPr="00B54265">
        <w:rPr>
          <w:b/>
          <w:bCs/>
        </w:rPr>
        <w:t xml:space="preserve">О жилых комплексах, </w:t>
      </w:r>
    </w:p>
    <w:p w:rsidR="00CD5F26" w:rsidRPr="00B54265" w:rsidRDefault="00CD5F26" w:rsidP="00CD5F26">
      <w:pPr>
        <w:spacing w:line="240" w:lineRule="atLeast"/>
        <w:jc w:val="center"/>
        <w:rPr>
          <w:b/>
        </w:rPr>
      </w:pPr>
      <w:r>
        <w:rPr>
          <w:b/>
          <w:bCs/>
        </w:rPr>
        <w:t xml:space="preserve">об </w:t>
      </w:r>
      <w:r w:rsidRPr="00B54265">
        <w:rPr>
          <w:b/>
          <w:bCs/>
        </w:rPr>
        <w:t>управлении имуществом общ</w:t>
      </w:r>
      <w:r>
        <w:rPr>
          <w:b/>
          <w:bCs/>
        </w:rPr>
        <w:t>его пользования в</w:t>
      </w:r>
      <w:r w:rsidRPr="00B54265">
        <w:rPr>
          <w:b/>
          <w:bCs/>
        </w:rPr>
        <w:t xml:space="preserve"> жилых комплекс</w:t>
      </w:r>
      <w:r>
        <w:rPr>
          <w:b/>
          <w:bCs/>
        </w:rPr>
        <w:t>ах</w:t>
      </w:r>
      <w:r>
        <w:rPr>
          <w:b/>
        </w:rPr>
        <w:t>"</w:t>
      </w:r>
    </w:p>
    <w:p w:rsidR="00CD5F26" w:rsidRPr="00B54265" w:rsidRDefault="00CD5F26" w:rsidP="00CD5F26">
      <w:pPr>
        <w:spacing w:line="240" w:lineRule="atLeast"/>
        <w:jc w:val="center"/>
        <w:rPr>
          <w:b/>
        </w:rPr>
      </w:pPr>
    </w:p>
    <w:p w:rsidR="00CD5F26" w:rsidRPr="00B54265" w:rsidRDefault="00CD5F26" w:rsidP="00CD5F26">
      <w:pPr>
        <w:spacing w:line="240" w:lineRule="atLeast"/>
        <w:jc w:val="center"/>
      </w:pPr>
    </w:p>
    <w:p w:rsidR="00CD5F26" w:rsidRPr="00B54265" w:rsidRDefault="00CD5F26" w:rsidP="00CD5F26">
      <w:pPr>
        <w:ind w:firstLine="709"/>
      </w:pPr>
      <w:r w:rsidRPr="00B54265">
        <w:t xml:space="preserve">Проект федерального закона </w:t>
      </w:r>
      <w:r>
        <w:t>"</w:t>
      </w:r>
      <w:r w:rsidRPr="00B54265">
        <w:t xml:space="preserve">О жилых комплексах, </w:t>
      </w:r>
      <w:r>
        <w:t xml:space="preserve">об </w:t>
      </w:r>
      <w:r w:rsidRPr="00B54265">
        <w:t>управлении имуществом общ</w:t>
      </w:r>
      <w:r>
        <w:t>его пользования в</w:t>
      </w:r>
      <w:r w:rsidRPr="00B54265">
        <w:t xml:space="preserve"> жилых комплекс</w:t>
      </w:r>
      <w:r>
        <w:t>ах"</w:t>
      </w:r>
      <w:r w:rsidRPr="00B54265">
        <w:t xml:space="preserve"> (далее </w:t>
      </w:r>
      <w:r>
        <w:t>-</w:t>
      </w:r>
      <w:r w:rsidRPr="00B54265">
        <w:t xml:space="preserve"> законопроект) направлен на реализацию Постановления Конституционного </w:t>
      </w:r>
      <w:r>
        <w:t>Суда Российской Федерации от 28 декабря 2021 г. № </w:t>
      </w:r>
      <w:r w:rsidRPr="00B54265">
        <w:t xml:space="preserve">55-П 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w:t>
      </w:r>
    </w:p>
    <w:p w:rsidR="00CD5F26" w:rsidRPr="00B54265" w:rsidRDefault="00CD5F26" w:rsidP="00CD5F26">
      <w:pPr>
        <w:ind w:firstLine="709"/>
      </w:pPr>
      <w:r w:rsidRPr="00B54265">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p w:rsidR="00CD5F26" w:rsidRPr="00B54265" w:rsidRDefault="00CD5F26" w:rsidP="00CD5F26">
      <w:pPr>
        <w:ind w:firstLine="709"/>
      </w:pPr>
      <w:r w:rsidRPr="00B54265">
        <w:t xml:space="preserve">Основными признаками, отличающими жилой комплекс, являются: </w:t>
      </w:r>
    </w:p>
    <w:p w:rsidR="00CD5F26" w:rsidRPr="00B54265" w:rsidRDefault="00CD5F26" w:rsidP="00CD5F26">
      <w:pPr>
        <w:ind w:firstLine="709"/>
      </w:pPr>
      <w:r w:rsidRPr="00B54265">
        <w:t>наличие совокупности индивидуальных жилых домов и (или) земельных участков;</w:t>
      </w:r>
    </w:p>
    <w:p w:rsidR="00CD5F26" w:rsidRPr="00B54265" w:rsidRDefault="00CD5F26" w:rsidP="00CD5F26">
      <w:pPr>
        <w:ind w:firstLine="709"/>
      </w:pPr>
      <w:r w:rsidRPr="00B54265">
        <w:t>наличие иных объектов, включая объекты, которые определены как имущество общего пользования и используются для удовлетворения потребностей всех собственников индивидуальных жилых домов и (или) собственников земельных участков;</w:t>
      </w:r>
    </w:p>
    <w:p w:rsidR="00CD5F26" w:rsidRPr="00B54265" w:rsidRDefault="00CD5F26" w:rsidP="00CD5F26">
      <w:pPr>
        <w:ind w:firstLine="709"/>
      </w:pPr>
      <w:r w:rsidRPr="00B54265">
        <w:t>наличие документации по планировке территории, в границах которой располагаются указанные земельные участки.</w:t>
      </w:r>
    </w:p>
    <w:p w:rsidR="00CD5F26" w:rsidRPr="00B54265" w:rsidRDefault="00CD5F26" w:rsidP="00CD5F26">
      <w:pPr>
        <w:ind w:firstLine="709"/>
      </w:pPr>
      <w:r w:rsidRPr="00B54265">
        <w:t>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Видами документации по планировке территории являются проект планировки территории и проект межевания территории.</w:t>
      </w:r>
    </w:p>
    <w:p w:rsidR="00CD5F26" w:rsidRPr="00B54265" w:rsidRDefault="00CD5F26" w:rsidP="00CD5F26">
      <w:pPr>
        <w:ind w:firstLine="709"/>
      </w:pPr>
      <w:r w:rsidRPr="00B54265">
        <w:t xml:space="preserve">В соответствии со статьей 42 Градостроительного кодекса Российской Федерации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br/>
      </w:r>
      <w:r w:rsidRPr="00B54265">
        <w:t>и очередности планируемого развития территории.</w:t>
      </w:r>
    </w:p>
    <w:p w:rsidR="00CD5F26" w:rsidRPr="00B54265" w:rsidRDefault="00CD5F26" w:rsidP="00CD5F26">
      <w:pPr>
        <w:ind w:firstLine="709"/>
      </w:pPr>
      <w:r w:rsidRPr="00B54265">
        <w:lastRenderedPageBreak/>
        <w:t>В соответствии со статьей 43 Градостроительного кодекса Российской Федерации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CD5F26" w:rsidRPr="00B54265" w:rsidRDefault="00CD5F26" w:rsidP="00CD5F26">
      <w:pPr>
        <w:ind w:firstLine="709"/>
      </w:pPr>
      <w:r w:rsidRPr="00B54265">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уполномоченному органу местного самоуправления </w:t>
      </w:r>
      <w:r>
        <w:br/>
      </w:r>
      <w:r w:rsidRPr="00B54265">
        <w:t xml:space="preserve">в соответствии с положениями Градостроительного кодекса Российской Федерации для опубликования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t>"</w:t>
      </w:r>
      <w:r w:rsidRPr="00B54265">
        <w:t>Интернет</w:t>
      </w:r>
      <w:r>
        <w:t>"</w:t>
      </w:r>
      <w:r w:rsidRPr="00B54265">
        <w:t>. Тем самым обеспечивается публичность и доступность указанной документации для всех заинтересованных лиц.</w:t>
      </w:r>
    </w:p>
    <w:p w:rsidR="00CD5F26" w:rsidRPr="00B54265" w:rsidRDefault="00CD5F26" w:rsidP="00CD5F26">
      <w:pPr>
        <w:ind w:firstLine="709"/>
      </w:pPr>
      <w:r w:rsidRPr="00B54265">
        <w:t>Таким образом</w:t>
      </w:r>
      <w:r>
        <w:t>,</w:t>
      </w:r>
      <w:r w:rsidRPr="00B54265">
        <w:t xml:space="preserve"> с учетом требований Градостроительного кодекса Российской Федерации информация о жилых комплексах будет носить общедоступный характер.</w:t>
      </w:r>
    </w:p>
    <w:p w:rsidR="00CD5F26" w:rsidRPr="00B54265" w:rsidRDefault="00CD5F26" w:rsidP="00CD5F26">
      <w:pPr>
        <w:ind w:firstLine="709"/>
        <w:rPr>
          <w:bCs/>
        </w:rPr>
      </w:pPr>
      <w:r w:rsidRPr="00B54265">
        <w:t xml:space="preserve">Законопроектом предусматривается, что </w:t>
      </w:r>
      <w:r w:rsidRPr="00B54265">
        <w:rPr>
          <w:bCs/>
        </w:rPr>
        <w:t xml:space="preserve">к жилым комплексам также относятся малоэтажные жилые комплексы, построенные в соответствии </w:t>
      </w:r>
      <w:r>
        <w:rPr>
          <w:bCs/>
        </w:rPr>
        <w:br/>
      </w:r>
      <w:r w:rsidRPr="00B54265">
        <w:rPr>
          <w:bCs/>
        </w:rPr>
        <w:t xml:space="preserve">с Федеральным законом от 30 декабря 2004 года № 214-ФЗ </w:t>
      </w:r>
      <w:r>
        <w:rPr>
          <w:bCs/>
        </w:rPr>
        <w:t>"</w:t>
      </w:r>
      <w:r w:rsidRPr="00B54265">
        <w:rPr>
          <w:bCs/>
        </w:rPr>
        <w:t xml:space="preserve">Об участии </w:t>
      </w:r>
      <w:r>
        <w:rPr>
          <w:bCs/>
        </w:rPr>
        <w:br/>
      </w:r>
      <w:r w:rsidRPr="00B54265">
        <w:rPr>
          <w:bCs/>
        </w:rP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Cs/>
        </w:rPr>
        <w:t>"</w:t>
      </w:r>
      <w:r w:rsidRPr="00B54265">
        <w:rPr>
          <w:bCs/>
        </w:rPr>
        <w:t>, за исключением случаев, если все об</w:t>
      </w:r>
      <w:r w:rsidR="00A102A8">
        <w:rPr>
          <w:bCs/>
        </w:rPr>
        <w:t>ъекты, предусмотренные частью 4</w:t>
      </w:r>
      <w:r w:rsidRPr="00A102A8">
        <w:rPr>
          <w:bCs/>
          <w:vertAlign w:val="superscript"/>
        </w:rPr>
        <w:t>3</w:t>
      </w:r>
      <w:r w:rsidRPr="00B54265">
        <w:rPr>
          <w:bCs/>
        </w:rPr>
        <w:t xml:space="preserve"> статьи 4 указанного Федерального закона, переданы в государственную или муниципальную собственность </w:t>
      </w:r>
      <w:r>
        <w:rPr>
          <w:bCs/>
        </w:rPr>
        <w:br/>
      </w:r>
      <w:r w:rsidRPr="00B54265">
        <w:rPr>
          <w:bCs/>
        </w:rPr>
        <w:t>в со</w:t>
      </w:r>
      <w:r w:rsidR="00A102A8">
        <w:rPr>
          <w:bCs/>
        </w:rPr>
        <w:t>ответствии с частью 4 статьи 23</w:t>
      </w:r>
      <w:r w:rsidRPr="00A102A8">
        <w:rPr>
          <w:bCs/>
          <w:vertAlign w:val="superscript"/>
        </w:rPr>
        <w:t>6</w:t>
      </w:r>
      <w:r w:rsidRPr="00B54265">
        <w:rPr>
          <w:bCs/>
        </w:rPr>
        <w:t xml:space="preserve"> данного Федерального закона. </w:t>
      </w:r>
    </w:p>
    <w:p w:rsidR="00CD5F26" w:rsidRPr="00B54265" w:rsidRDefault="00CD5F26" w:rsidP="00CD5F26">
      <w:pPr>
        <w:ind w:firstLine="709"/>
      </w:pPr>
      <w:r w:rsidRPr="00B54265">
        <w:t xml:space="preserve">Законопроект </w:t>
      </w:r>
      <w:r w:rsidRPr="00B54265">
        <w:rPr>
          <w:bCs/>
        </w:rPr>
        <w:t xml:space="preserve">регулирует отношения, связанные с управлением </w:t>
      </w:r>
      <w:r>
        <w:rPr>
          <w:bCs/>
        </w:rPr>
        <w:br/>
      </w:r>
      <w:r w:rsidRPr="00B54265">
        <w:rPr>
          <w:bCs/>
        </w:rPr>
        <w:t xml:space="preserve">и содержанием имущества общего пользования, которое включает в себя общее имущество собственников индивидуальных жилых домов и иное имущество, которое используется для удовлетворения потребностей всех </w:t>
      </w:r>
      <w:r w:rsidRPr="00B54265">
        <w:rPr>
          <w:bCs/>
        </w:rPr>
        <w:lastRenderedPageBreak/>
        <w:t xml:space="preserve">собственников индивидуальных жилых домов на условиях, установленных законопроектом, и расположено в границах территории жилого комплекса, </w:t>
      </w:r>
      <w:r>
        <w:rPr>
          <w:bCs/>
        </w:rPr>
        <w:br/>
      </w:r>
      <w:r w:rsidRPr="00B54265">
        <w:rPr>
          <w:bCs/>
        </w:rPr>
        <w:t xml:space="preserve">а также устанавливает гарантии защиты прав, законных интересов и имущества собственников индивидуальных жилых домов и (или) земельных участков </w:t>
      </w:r>
      <w:r>
        <w:rPr>
          <w:bCs/>
        </w:rPr>
        <w:br/>
      </w:r>
      <w:r w:rsidRPr="00B54265">
        <w:rPr>
          <w:bCs/>
        </w:rPr>
        <w:t xml:space="preserve">в жилых комплексах. </w:t>
      </w:r>
    </w:p>
    <w:p w:rsidR="00CD5F26" w:rsidRPr="00B54265" w:rsidRDefault="00CD5F26" w:rsidP="00CD5F26">
      <w:pPr>
        <w:ind w:firstLine="709"/>
      </w:pPr>
      <w:r w:rsidRPr="00B54265">
        <w:rPr>
          <w:bCs/>
        </w:rPr>
        <w:t xml:space="preserve">В настоящее время право общей долевой собственности на общее имущество, расположенное в границах таких комплексов, может возникать, </w:t>
      </w:r>
      <w:r>
        <w:rPr>
          <w:bCs/>
        </w:rPr>
        <w:br/>
      </w:r>
      <w:r w:rsidRPr="00B54265">
        <w:rPr>
          <w:bCs/>
        </w:rPr>
        <w:t xml:space="preserve">в том числе, при заключении договоров участия в долевом строительстве </w:t>
      </w:r>
      <w:r>
        <w:rPr>
          <w:bCs/>
        </w:rPr>
        <w:br/>
      </w:r>
      <w:r w:rsidRPr="00B54265">
        <w:rPr>
          <w:bCs/>
        </w:rPr>
        <w:t xml:space="preserve">в отношении индивидуальных жилых домов в соответствии с Федеральным законом от 30 декабря 2004 года № 214-ФЗ </w:t>
      </w:r>
      <w:r>
        <w:rPr>
          <w:bCs/>
        </w:rPr>
        <w:t>"</w:t>
      </w:r>
      <w:r w:rsidRPr="00B54265">
        <w:rPr>
          <w:bCs/>
        </w:rPr>
        <w:t xml:space="preserve">Об участии в долевом строительстве многоквартирных домов и иных объектов недвижимости </w:t>
      </w:r>
      <w:r>
        <w:rPr>
          <w:bCs/>
        </w:rPr>
        <w:br/>
      </w:r>
      <w:r w:rsidRPr="00B54265">
        <w:rPr>
          <w:bCs/>
        </w:rPr>
        <w:t>и о внесении изменений в некоторые законодательные акты Российской Федерации</w:t>
      </w:r>
      <w:r>
        <w:rPr>
          <w:bCs/>
        </w:rPr>
        <w:t>"</w:t>
      </w:r>
      <w:r w:rsidRPr="00B54265">
        <w:t xml:space="preserve">. </w:t>
      </w:r>
    </w:p>
    <w:p w:rsidR="00CD5F26" w:rsidRPr="00B54265" w:rsidRDefault="00CD5F26" w:rsidP="00CD5F26">
      <w:pPr>
        <w:ind w:firstLine="709"/>
      </w:pPr>
      <w:r w:rsidRPr="00B54265">
        <w:t xml:space="preserve">Законопроектом также предусматривается регулирование правоотношений по управлению имуществом общего пользования, к которому предлагается отнести общее имущество собственников индивидуальных жилых домов или иное имущество, которое находится в частной собственности и используется для удовлетворения потребностей всех собственников индивидуальных жилых домов на условиях, установленных законопроектом, </w:t>
      </w:r>
      <w:r>
        <w:br/>
      </w:r>
      <w:r w:rsidRPr="00B54265">
        <w:t xml:space="preserve">и расположено в границах территории жилого комплекса. </w:t>
      </w:r>
    </w:p>
    <w:p w:rsidR="00CD5F26" w:rsidRPr="00B54265" w:rsidRDefault="00CD5F26" w:rsidP="00CD5F26">
      <w:pPr>
        <w:ind w:firstLine="709"/>
      </w:pPr>
      <w:r w:rsidRPr="00B54265">
        <w:t xml:space="preserve">При этом в целях установления правовой предпосылки, направленной на обеспечение легальности ограничения правомочий собственника имущества, используемого собственниками индивидуальных жилых домов и иных объектов недвижимости в жилых комплексах, законопроектом предусматривается специальное регулирование отношений, связанных </w:t>
      </w:r>
      <w:r>
        <w:br/>
      </w:r>
      <w:r w:rsidRPr="00B54265">
        <w:t>с использованием имущества, не находящегося в долевой собственности указанных собственников.</w:t>
      </w:r>
    </w:p>
    <w:p w:rsidR="00CD5F26" w:rsidRPr="00B54265" w:rsidRDefault="00CD5F26" w:rsidP="00CD5F26">
      <w:pPr>
        <w:ind w:firstLine="709"/>
      </w:pPr>
      <w:r w:rsidRPr="00B54265">
        <w:t xml:space="preserve">Так, статьей 9 законопроекта прямо предусмотрено, что в случае если </w:t>
      </w:r>
      <w:r>
        <w:br/>
      </w:r>
      <w:r w:rsidRPr="00B54265">
        <w:t xml:space="preserve">в границах территории жилого комплекса расположено имущество, которое </w:t>
      </w:r>
      <w:r>
        <w:br/>
      </w:r>
      <w:r w:rsidRPr="00B54265">
        <w:t xml:space="preserve">не находится в долевой собственности, владение и пользование таким имуществом собственниками и арендаторами осуществляется по соглашению </w:t>
      </w:r>
      <w:r>
        <w:br/>
      </w:r>
      <w:r w:rsidRPr="00B54265">
        <w:t xml:space="preserve">с собственником такого имущества с учетом особенностей, установленных настоящим Федеральным законом. </w:t>
      </w:r>
    </w:p>
    <w:p w:rsidR="00CD5F26" w:rsidRPr="00B54265" w:rsidRDefault="00CD5F26" w:rsidP="00CD5F26">
      <w:pPr>
        <w:ind w:firstLine="709"/>
      </w:pPr>
      <w:r w:rsidRPr="00B54265">
        <w:t xml:space="preserve">Согласно части 3 статьи 9 законопроекта собственник имущества, </w:t>
      </w:r>
      <w:r>
        <w:br/>
      </w:r>
      <w:r w:rsidRPr="00B54265">
        <w:t xml:space="preserve">не находящегося в долевой собственности, вправе устанавливать плату </w:t>
      </w:r>
      <w:r>
        <w:br/>
      </w:r>
      <w:r w:rsidRPr="00B54265">
        <w:t xml:space="preserve">за пользование таким имуществом. Исчерпывающий перечень расходов, которые подлежат возмещению собственниками при использовании имущества, не находящегося в долевой собственности, а также порядок </w:t>
      </w:r>
      <w:r w:rsidRPr="00B54265">
        <w:lastRenderedPageBreak/>
        <w:t>отнесения такого имущества к имуществу, не находящемуся в долевой собственности, устанавливается Правительством Российской Федерации.</w:t>
      </w:r>
    </w:p>
    <w:p w:rsidR="00CD5F26" w:rsidRPr="00B54265" w:rsidRDefault="00CD5F26" w:rsidP="00CD5F26">
      <w:pPr>
        <w:ind w:firstLine="709"/>
      </w:pPr>
      <w:r w:rsidRPr="00B54265">
        <w:t xml:space="preserve">Кроме того, законопроектом предусмотрены особенности проведения общего собрания собственников индивидуальных жилых домов и (или) земельных участков, предназначенных для жилищного строительства, иных объектов недвижимости в границах территории жилого комплекса </w:t>
      </w:r>
      <w:r>
        <w:br/>
      </w:r>
      <w:r w:rsidRPr="00B54265">
        <w:t xml:space="preserve">в соответствии с утвержденной документацией по планировке территории, </w:t>
      </w:r>
      <w:r>
        <w:br/>
      </w:r>
      <w:r w:rsidRPr="00B54265">
        <w:t xml:space="preserve">а также возможность выбора одного из трех способов управления имуществом общего пользования: непосредственное управление, товарищество собственников недвижимости или управляющая организация. </w:t>
      </w:r>
    </w:p>
    <w:p w:rsidR="00CD5F26" w:rsidRPr="00B54265" w:rsidRDefault="00CD5F26" w:rsidP="00CD5F26">
      <w:pPr>
        <w:ind w:firstLine="709"/>
        <w:rPr>
          <w:bCs/>
        </w:rPr>
      </w:pPr>
      <w:r w:rsidRPr="00B54265">
        <w:rPr>
          <w:bCs/>
        </w:rPr>
        <w:t>Решения общего собрания и протокол общего собрания подлежат размещению в государственной информационной системе жилищно-коммунального хозяйства лицом, инициировавшим проведение общего собрания, что обеспечивает возможность ознакомления с их содержанием всем заинтересованным лицам.</w:t>
      </w:r>
    </w:p>
    <w:p w:rsidR="00CD5F26" w:rsidRPr="00B54265" w:rsidRDefault="00CD5F26" w:rsidP="00CD5F26">
      <w:pPr>
        <w:ind w:firstLine="709"/>
        <w:rPr>
          <w:bCs/>
        </w:rPr>
      </w:pPr>
      <w:r w:rsidRPr="00B54265">
        <w:t xml:space="preserve">В соответствии с законопроектом в </w:t>
      </w:r>
      <w:r w:rsidRPr="00B54265">
        <w:rPr>
          <w:bCs/>
        </w:rPr>
        <w:t xml:space="preserve">случае, если собственниками способ управления не выбран или не реализован, управление имуществом, находящимся в долевой собственности, осуществляется способом, указанным </w:t>
      </w:r>
      <w:r>
        <w:rPr>
          <w:bCs/>
        </w:rPr>
        <w:br/>
      </w:r>
      <w:r w:rsidRPr="00B54265">
        <w:rPr>
          <w:bCs/>
        </w:rPr>
        <w:t xml:space="preserve">в пункте 1 части 2 статьи 7 законопроекта, то есть непосредственно собственниками.  </w:t>
      </w:r>
    </w:p>
    <w:p w:rsidR="00CD5F26" w:rsidRPr="00B54265" w:rsidRDefault="00CD5F26" w:rsidP="00CD5F26">
      <w:pPr>
        <w:ind w:firstLine="709"/>
      </w:pPr>
      <w:r w:rsidRPr="00B54265">
        <w:t>Также законопроектом решаются вопросы предоставления коммунальных услуг ресурсоснабжающей организацией, региональным оператором по обращению с твердыми коммунальными отходами.</w:t>
      </w:r>
    </w:p>
    <w:p w:rsidR="00CD5F26" w:rsidRPr="00B54265" w:rsidRDefault="00CD5F26" w:rsidP="00CD5F26">
      <w:pPr>
        <w:ind w:firstLine="709"/>
      </w:pPr>
      <w:r w:rsidRPr="00B54265">
        <w:rPr>
          <w:bCs/>
        </w:rPr>
        <w:t>При регулировании отношений, связанных с использованием ч</w:t>
      </w:r>
      <w:r w:rsidRPr="00B54265">
        <w:t>ленских взносов при управлении жилым комплексом товариществом собственников недвижимости, применяется  подход, аналогичный регулированию сходных отношений, связанных с использованием членских взносов членов садоводческих некоммерческих товариществ и огороднических некоммерческих товариществ, закрепленный Федеральным законом от 29 июля 2017</w:t>
      </w:r>
      <w:r>
        <w:t> г.</w:t>
      </w:r>
      <w:r w:rsidRPr="00B54265">
        <w:t xml:space="preserve"> № 217-ФЗ </w:t>
      </w:r>
      <w:r>
        <w:t>"</w:t>
      </w:r>
      <w:r w:rsidRPr="00B54265">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w:t>
      </w:r>
      <w:r w:rsidRPr="00B54265">
        <w:t>.</w:t>
      </w:r>
    </w:p>
    <w:p w:rsidR="00CD5F26" w:rsidRPr="00B54265" w:rsidRDefault="00CD5F26" w:rsidP="00CD5F26">
      <w:pPr>
        <w:ind w:firstLine="709"/>
      </w:pPr>
      <w:r w:rsidRPr="00B54265">
        <w:t xml:space="preserve">Законопроектом предусматриваются переходные положения, обеспечивающие право собственников индивидуальных жилых домов и (или) земельных участков, и иных объектов, которые используются как имущество общего пользования для удовлетворения потребностей всех собственников  индивидуальных жилых домов и (или) собственников земельных участков, находящихся в границах территории, в отношении которой до вступления в </w:t>
      </w:r>
      <w:r w:rsidRPr="00B54265">
        <w:lastRenderedPageBreak/>
        <w:t>силу законопроекта документация по планировке территории утверждена либо не утверждена, инициировать процедуру проведения общего собрания собственников в целях принятия решения о признании жилым комплексом совокупности таких индивидуальных жилых домов и (или) земельных участков, и иных объектов общего пользования. Указанное решение может быть принято при соблюдении следующих условий:</w:t>
      </w:r>
    </w:p>
    <w:p w:rsidR="00CD5F26" w:rsidRPr="00B54265" w:rsidRDefault="00CD5F26" w:rsidP="00CD5F26">
      <w:pPr>
        <w:ind w:firstLine="709"/>
      </w:pPr>
      <w:r w:rsidRPr="00B54265">
        <w:t>1) индивидуальные жилые дома расположены на смежных земельных участках;</w:t>
      </w:r>
    </w:p>
    <w:p w:rsidR="00CD5F26" w:rsidRPr="00B54265" w:rsidRDefault="00CD5F26" w:rsidP="00CD5F26">
      <w:pPr>
        <w:ind w:firstLine="709"/>
      </w:pPr>
      <w:r w:rsidRPr="00B54265">
        <w:t>2) в границах указанной территории расположено имущество, которое может быть признано имуществом общего пользования в порядке, предусмотренном законопроектом;</w:t>
      </w:r>
    </w:p>
    <w:p w:rsidR="00CD5F26" w:rsidRPr="00B54265" w:rsidRDefault="00CD5F26" w:rsidP="00CD5F26">
      <w:pPr>
        <w:ind w:firstLine="709"/>
      </w:pPr>
      <w:r w:rsidRPr="00B54265">
        <w:t>3)</w:t>
      </w:r>
      <w:r>
        <w:t> </w:t>
      </w:r>
      <w:r w:rsidRPr="00B54265">
        <w:t>собственники индивидуальных жилых домов и иных объектов недвижимости, расположенных на смежных земельных участках, приняли решение о признании жилым комплексом.</w:t>
      </w:r>
    </w:p>
    <w:p w:rsidR="00CD5F26" w:rsidRPr="00B54265" w:rsidRDefault="00CD5F26" w:rsidP="00CD5F26">
      <w:pPr>
        <w:ind w:firstLine="709"/>
      </w:pPr>
      <w:r w:rsidRPr="00B54265">
        <w:t xml:space="preserve">Решение о признании жилым комплексом считается принятым, если за него проголосовало не менее трех четвертей собственников индивидуальных жилых домов и иных объектов недвижимости и при этом в общем собрании собственников участвовали все собственники индивидуальных жилых домов </w:t>
      </w:r>
      <w:r>
        <w:br/>
      </w:r>
      <w:r w:rsidRPr="00B54265">
        <w:t>и иных объектов недвижимости.</w:t>
      </w:r>
    </w:p>
    <w:p w:rsidR="00CD5F26" w:rsidRPr="00B54265" w:rsidRDefault="00CD5F26" w:rsidP="00CD5F26">
      <w:pPr>
        <w:ind w:firstLine="709"/>
      </w:pPr>
      <w:r w:rsidRPr="00B54265">
        <w:t xml:space="preserve">Законопроектом предусматривается также возможность признания жилым комплексом совокупности индивидуальных жилых домов и иных объектов недвижимости, включая объекты, которые используются для удовлетворения потребностей всех указанных собственников индивидуальных жилых домов, по решению суда в случае, если решение о признании жилым комплексом </w:t>
      </w:r>
      <w:r w:rsidRPr="00B54265">
        <w:rPr>
          <w:bCs/>
        </w:rPr>
        <w:t xml:space="preserve">не принято одним или несколькими </w:t>
      </w:r>
      <w:r w:rsidRPr="00B54265">
        <w:t xml:space="preserve">собственниками имущества общего пользования, но принято </w:t>
      </w:r>
      <w:r w:rsidRPr="00B54265">
        <w:rPr>
          <w:bCs/>
        </w:rPr>
        <w:t>собственниками индивидуальных жилых домов, количество которых составляет не менее трех четвертей от общего количества таких собственников.</w:t>
      </w:r>
    </w:p>
    <w:p w:rsidR="00CD5F26" w:rsidRPr="00B54265" w:rsidRDefault="00CD5F26" w:rsidP="00CD5F26">
      <w:pPr>
        <w:ind w:firstLine="709"/>
      </w:pPr>
      <w:r w:rsidRPr="00B54265">
        <w:t>Предполагается, что закон вступит в силу по истечении 180 дней со дня официального опубликования, что даст возможность разработать все необходимые для применения положений данного законопроекта подзаконные акты.</w:t>
      </w:r>
    </w:p>
    <w:p w:rsidR="00CD5F26" w:rsidRPr="00B54265" w:rsidRDefault="00CD5F26" w:rsidP="00CD5F26">
      <w:pPr>
        <w:ind w:firstLine="709"/>
      </w:pPr>
      <w:r w:rsidRPr="00B54265">
        <w:t>Законопроект не содержит положений, противоречащих положениям Договора о Евразийском экономическом союзе, а также положениям иных международных договоров Российской Федерации.</w:t>
      </w:r>
    </w:p>
    <w:p w:rsidR="00CD5F26" w:rsidRPr="00B54265" w:rsidRDefault="00CD5F26" w:rsidP="00CD5F26">
      <w:pPr>
        <w:ind w:firstLine="709"/>
      </w:pPr>
      <w:r w:rsidRPr="00B54265">
        <w:t xml:space="preserve">В законопроекте отсутствуют требования, которые связаны </w:t>
      </w:r>
      <w:r>
        <w:br/>
      </w:r>
      <w:r w:rsidRPr="00B54265">
        <w:t xml:space="preserve">с осуществлением предпринимательской и иной экономической деятельности и оценка соблюдения которых осуществляется в рамках государственного </w:t>
      </w:r>
      <w:r w:rsidRPr="00B54265">
        <w:lastRenderedPageBreak/>
        <w:t xml:space="preserve">контроля (надзора), муниципального контроля, привлечения </w:t>
      </w:r>
      <w:r>
        <w:br/>
      </w:r>
      <w:r w:rsidRPr="00B54265">
        <w:t xml:space="preserve">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w:t>
      </w:r>
    </w:p>
    <w:p w:rsidR="00CD5F26" w:rsidRPr="00B54265" w:rsidRDefault="00CD5F26" w:rsidP="00CD5F26">
      <w:pPr>
        <w:ind w:firstLine="709"/>
      </w:pPr>
      <w:r w:rsidRPr="00B54265">
        <w:t>Предлагаемые законопроектом решения не окажут негативного влияния на достижение целей государственных программ Российской Федерации. Реализация положений законопроекта не повлечет дополнительных расходов бюджетов бюджетной системы Российской Федерации.</w:t>
      </w:r>
    </w:p>
    <w:sectPr w:rsidR="00CD5F26" w:rsidRPr="00B54265"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8F" w:rsidRDefault="00E7568F">
      <w:r>
        <w:separator/>
      </w:r>
    </w:p>
  </w:endnote>
  <w:endnote w:type="continuationSeparator" w:id="0">
    <w:p w:rsidR="00E7568F" w:rsidRDefault="00E7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5" w:rsidRDefault="00B54265">
    <w:pPr>
      <w:pStyle w:val="a4"/>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A102A8">
      <w:rPr>
        <w:noProof/>
        <w:sz w:val="16"/>
      </w:rPr>
      <w:t>22060230.docx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5" w:rsidRDefault="00B54265">
    <w:pPr>
      <w:pStyle w:val="a4"/>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A102A8">
      <w:rPr>
        <w:noProof/>
        <w:sz w:val="16"/>
      </w:rPr>
      <w:t>22060230.docx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8F" w:rsidRDefault="00E7568F">
      <w:r>
        <w:separator/>
      </w:r>
    </w:p>
  </w:footnote>
  <w:footnote w:type="continuationSeparator" w:id="0">
    <w:p w:rsidR="00E7568F" w:rsidRDefault="00E7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5" w:rsidRDefault="00B54265">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sidR="00E72C0F">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65" w:rsidRDefault="00B54265">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AC"/>
    <w:rsid w:val="00001431"/>
    <w:rsid w:val="000D1934"/>
    <w:rsid w:val="000F26C7"/>
    <w:rsid w:val="00136D4F"/>
    <w:rsid w:val="00141389"/>
    <w:rsid w:val="00155CF8"/>
    <w:rsid w:val="0018754B"/>
    <w:rsid w:val="001D4C32"/>
    <w:rsid w:val="001F3637"/>
    <w:rsid w:val="00222BF3"/>
    <w:rsid w:val="00265956"/>
    <w:rsid w:val="002944D7"/>
    <w:rsid w:val="002B51EF"/>
    <w:rsid w:val="002C65A8"/>
    <w:rsid w:val="002E091E"/>
    <w:rsid w:val="002F3F4B"/>
    <w:rsid w:val="00300F01"/>
    <w:rsid w:val="00313FC7"/>
    <w:rsid w:val="003C2D3A"/>
    <w:rsid w:val="003F1145"/>
    <w:rsid w:val="00402B99"/>
    <w:rsid w:val="004C5B85"/>
    <w:rsid w:val="005039CE"/>
    <w:rsid w:val="00544EF2"/>
    <w:rsid w:val="00560401"/>
    <w:rsid w:val="00564A61"/>
    <w:rsid w:val="00694D56"/>
    <w:rsid w:val="006B2327"/>
    <w:rsid w:val="00723DE9"/>
    <w:rsid w:val="00775116"/>
    <w:rsid w:val="007A034D"/>
    <w:rsid w:val="008219FE"/>
    <w:rsid w:val="00850D58"/>
    <w:rsid w:val="0087593A"/>
    <w:rsid w:val="008B4217"/>
    <w:rsid w:val="008E6C06"/>
    <w:rsid w:val="008E7D34"/>
    <w:rsid w:val="00926E3E"/>
    <w:rsid w:val="0094258B"/>
    <w:rsid w:val="009B1477"/>
    <w:rsid w:val="00A102A8"/>
    <w:rsid w:val="00AC5A3C"/>
    <w:rsid w:val="00AE4C57"/>
    <w:rsid w:val="00B0422C"/>
    <w:rsid w:val="00B12518"/>
    <w:rsid w:val="00B54265"/>
    <w:rsid w:val="00CD5F26"/>
    <w:rsid w:val="00CD7729"/>
    <w:rsid w:val="00CF324E"/>
    <w:rsid w:val="00DB58FB"/>
    <w:rsid w:val="00E424BA"/>
    <w:rsid w:val="00E72C0F"/>
    <w:rsid w:val="00E7568F"/>
    <w:rsid w:val="00ED44A8"/>
    <w:rsid w:val="00F25901"/>
    <w:rsid w:val="00FA62F4"/>
    <w:rsid w:val="00FC1CC8"/>
    <w:rsid w:val="00FC489B"/>
    <w:rsid w:val="00FC7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F2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paragraph" w:styleId="a7">
    <w:name w:val="Balloon Text"/>
    <w:basedOn w:val="a"/>
    <w:link w:val="a8"/>
    <w:rsid w:val="002F3F4B"/>
    <w:pPr>
      <w:spacing w:line="240" w:lineRule="auto"/>
    </w:pPr>
    <w:rPr>
      <w:rFonts w:ascii="Tahoma" w:hAnsi="Tahoma" w:cs="Tahoma"/>
      <w:sz w:val="16"/>
      <w:szCs w:val="16"/>
    </w:rPr>
  </w:style>
  <w:style w:type="character" w:customStyle="1" w:styleId="a8">
    <w:name w:val="Текст выноски Знак"/>
    <w:basedOn w:val="a0"/>
    <w:link w:val="a7"/>
    <w:rsid w:val="002F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F2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paragraph" w:styleId="a7">
    <w:name w:val="Balloon Text"/>
    <w:basedOn w:val="a"/>
    <w:link w:val="a8"/>
    <w:rsid w:val="002F3F4B"/>
    <w:pPr>
      <w:spacing w:line="240" w:lineRule="auto"/>
    </w:pPr>
    <w:rPr>
      <w:rFonts w:ascii="Tahoma" w:hAnsi="Tahoma" w:cs="Tahoma"/>
      <w:sz w:val="16"/>
      <w:szCs w:val="16"/>
    </w:rPr>
  </w:style>
  <w:style w:type="character" w:customStyle="1" w:styleId="a8">
    <w:name w:val="Текст выноски Знак"/>
    <w:basedOn w:val="a0"/>
    <w:link w:val="a7"/>
    <w:rsid w:val="002F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Харабадзе П.Т.</dc:creator>
  <cp:lastModifiedBy>Колпакова О.А.</cp:lastModifiedBy>
  <cp:revision>2</cp:revision>
  <cp:lastPrinted>2022-06-27T12:01:00Z</cp:lastPrinted>
  <dcterms:created xsi:type="dcterms:W3CDTF">2022-06-27T12:26:00Z</dcterms:created>
  <dcterms:modified xsi:type="dcterms:W3CDTF">2022-06-27T12:26:00Z</dcterms:modified>
</cp:coreProperties>
</file>